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8C4" w:rsidRPr="00AB48F3" w:rsidRDefault="00A338C4" w:rsidP="00A338C4">
      <w:pPr>
        <w:jc w:val="center"/>
        <w:rPr>
          <w:rFonts w:ascii="Candara" w:hAnsi="Candara"/>
          <w:b/>
          <w:szCs w:val="20"/>
        </w:rPr>
      </w:pPr>
      <w:r w:rsidRPr="00AB48F3">
        <w:rPr>
          <w:rStyle w:val="Titredulivre"/>
          <w:rFonts w:ascii="Candara" w:hAnsi="Candara"/>
          <w:szCs w:val="20"/>
        </w:rPr>
        <w:t>42. Erythema exsudativum multiforme, Lyellův</w:t>
      </w:r>
      <w:r w:rsidRPr="00AB48F3">
        <w:rPr>
          <w:rFonts w:ascii="Candara" w:hAnsi="Candara"/>
          <w:b/>
          <w:szCs w:val="20"/>
        </w:rPr>
        <w:t xml:space="preserve"> </w:t>
      </w:r>
      <w:r w:rsidRPr="00AB48F3">
        <w:rPr>
          <w:rStyle w:val="Titredulivre"/>
          <w:rFonts w:ascii="Candara" w:hAnsi="Candara"/>
          <w:szCs w:val="20"/>
        </w:rPr>
        <w:t>syndrom</w:t>
      </w:r>
    </w:p>
    <w:p w:rsidR="00A338C4" w:rsidRPr="00AB48F3" w:rsidRDefault="00A338C4" w:rsidP="00A338C4">
      <w:pPr>
        <w:rPr>
          <w:rFonts w:ascii="Candara" w:hAnsi="Candara"/>
          <w:sz w:val="20"/>
          <w:szCs w:val="20"/>
        </w:rPr>
      </w:pPr>
    </w:p>
    <w:p w:rsidR="00A338C4" w:rsidRPr="00AB48F3" w:rsidRDefault="00A338C4" w:rsidP="00A338C4">
      <w:pPr>
        <w:rPr>
          <w:rFonts w:ascii="Candara" w:hAnsi="Candara"/>
          <w:b/>
          <w:sz w:val="22"/>
          <w:szCs w:val="20"/>
        </w:rPr>
      </w:pPr>
      <w:r w:rsidRPr="00AB48F3">
        <w:rPr>
          <w:rFonts w:ascii="Candara" w:hAnsi="Candara"/>
          <w:b/>
          <w:sz w:val="22"/>
          <w:szCs w:val="20"/>
        </w:rPr>
        <w:t>ERYTHEMA EXSUDATIVUM MULTIFORME</w:t>
      </w:r>
    </w:p>
    <w:p w:rsidR="00A338C4" w:rsidRPr="00AB48F3" w:rsidRDefault="00A338C4" w:rsidP="00A338C4">
      <w:pPr>
        <w:rPr>
          <w:rFonts w:ascii="Candara" w:hAnsi="Candara"/>
          <w:sz w:val="20"/>
          <w:szCs w:val="20"/>
        </w:rPr>
      </w:pPr>
    </w:p>
    <w:p w:rsidR="00A338C4" w:rsidRPr="00AB48F3" w:rsidRDefault="00A338C4" w:rsidP="00A338C4">
      <w:pPr>
        <w:pStyle w:val="Paragraphedeliste"/>
        <w:numPr>
          <w:ilvl w:val="0"/>
          <w:numId w:val="1"/>
        </w:numPr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>= relativně častá drmatóza multifaktoriální etiologie s charakteristickými symetirckými terčovitými projevy se sklonem k recidivám</w:t>
      </w:r>
    </w:p>
    <w:p w:rsidR="00A338C4" w:rsidRPr="00AB48F3" w:rsidRDefault="00A338C4" w:rsidP="00A338C4">
      <w:pPr>
        <w:pStyle w:val="Paragraphedeliste"/>
        <w:numPr>
          <w:ilvl w:val="0"/>
          <w:numId w:val="1"/>
        </w:numPr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>provokující faktor: herpes simplex labialis, méně pak: mykoplazmatická či bakteriální infekce, léky, často ale idiopatická</w:t>
      </w:r>
    </w:p>
    <w:p w:rsidR="00A338C4" w:rsidRPr="00AB48F3" w:rsidRDefault="00A338C4" w:rsidP="00A338C4">
      <w:pPr>
        <w:pStyle w:val="Paragraphedeliste"/>
        <w:numPr>
          <w:ilvl w:val="0"/>
          <w:numId w:val="1"/>
        </w:numPr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>předchází výsev o 1 – 2 týdny</w:t>
      </w:r>
    </w:p>
    <w:p w:rsidR="00A338C4" w:rsidRPr="00AB48F3" w:rsidRDefault="00A338C4" w:rsidP="00A338C4">
      <w:pPr>
        <w:pStyle w:val="Paragraphedeliste"/>
        <w:numPr>
          <w:ilvl w:val="0"/>
          <w:numId w:val="1"/>
        </w:numPr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>KO –</w:t>
      </w:r>
      <w:r w:rsidR="00DE012E" w:rsidRPr="00AB48F3">
        <w:rPr>
          <w:rFonts w:ascii="Candara" w:hAnsi="Candara"/>
          <w:sz w:val="20"/>
          <w:szCs w:val="20"/>
        </w:rPr>
        <w:t xml:space="preserve"> 2</w:t>
      </w:r>
      <w:r w:rsidRPr="00AB48F3">
        <w:rPr>
          <w:rFonts w:ascii="Candara" w:hAnsi="Candara"/>
          <w:sz w:val="20"/>
          <w:szCs w:val="20"/>
        </w:rPr>
        <w:t xml:space="preserve"> formy:</w:t>
      </w:r>
    </w:p>
    <w:p w:rsidR="00A338C4" w:rsidRPr="00AB48F3" w:rsidRDefault="00A338C4" w:rsidP="00A338C4">
      <w:pPr>
        <w:pStyle w:val="Paragraphedeliste"/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forma minor</w:t>
      </w:r>
    </w:p>
    <w:p w:rsidR="00A338C4" w:rsidRPr="00AB48F3" w:rsidRDefault="00A338C4" w:rsidP="00A338C4">
      <w:pPr>
        <w:pStyle w:val="Paragraphedeliste"/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</w:r>
      <w:r w:rsidRPr="00AB48F3">
        <w:rPr>
          <w:rFonts w:ascii="Candara" w:hAnsi="Candara"/>
          <w:sz w:val="20"/>
          <w:szCs w:val="20"/>
        </w:rPr>
        <w:tab/>
        <w:t xml:space="preserve">charakteristické terčovité kožní projevy vznikající jako erytematózní makulopapuly, šíří se do periferie dobře ohraničeným </w:t>
      </w:r>
      <w:r w:rsidRPr="00AB48F3">
        <w:rPr>
          <w:rFonts w:ascii="Candara" w:hAnsi="Candara"/>
          <w:b/>
          <w:sz w:val="20"/>
          <w:szCs w:val="20"/>
        </w:rPr>
        <w:t>prstencem erytému</w:t>
      </w:r>
      <w:r w:rsidRPr="00AB48F3">
        <w:rPr>
          <w:rFonts w:ascii="Candara" w:hAnsi="Candara"/>
          <w:sz w:val="20"/>
          <w:szCs w:val="20"/>
        </w:rPr>
        <w:t xml:space="preserve"> – ten do centra přechází v soustředný nafialovělý </w:t>
      </w:r>
      <w:r w:rsidRPr="00AB48F3">
        <w:rPr>
          <w:rFonts w:ascii="Candara" w:hAnsi="Candara"/>
          <w:b/>
          <w:sz w:val="20"/>
          <w:szCs w:val="20"/>
        </w:rPr>
        <w:t>prstenec edému</w:t>
      </w:r>
      <w:r w:rsidRPr="00AB48F3">
        <w:rPr>
          <w:rFonts w:ascii="Candara" w:hAnsi="Candara"/>
          <w:sz w:val="20"/>
          <w:szCs w:val="20"/>
        </w:rPr>
        <w:t xml:space="preserve">, který obkružuje střed tvořený </w:t>
      </w:r>
      <w:r w:rsidRPr="00AB48F3">
        <w:rPr>
          <w:rFonts w:ascii="Candara" w:hAnsi="Candara"/>
          <w:b/>
          <w:sz w:val="20"/>
          <w:szCs w:val="20"/>
        </w:rPr>
        <w:t xml:space="preserve">purpurou, krustou či nekrózou </w:t>
      </w:r>
      <w:r w:rsidRPr="00AB48F3">
        <w:rPr>
          <w:rFonts w:ascii="Arial" w:hAnsi="Arial" w:cs="Arial"/>
          <w:sz w:val="20"/>
          <w:szCs w:val="20"/>
        </w:rPr>
        <w:t>→</w:t>
      </w:r>
      <w:r w:rsidRPr="00AB48F3">
        <w:rPr>
          <w:rFonts w:ascii="Candara" w:hAnsi="Candara"/>
          <w:sz w:val="20"/>
          <w:szCs w:val="20"/>
        </w:rPr>
        <w:t xml:space="preserve"> připomíná duhovku, proto někdy „iris forma“</w:t>
      </w:r>
    </w:p>
    <w:p w:rsidR="00A338C4" w:rsidRPr="00AB48F3" w:rsidRDefault="00A338C4" w:rsidP="00A338C4">
      <w:pPr>
        <w:pStyle w:val="Paragraphedeliste"/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</w:r>
      <w:r w:rsidRPr="00AB48F3">
        <w:rPr>
          <w:rFonts w:ascii="Candara" w:hAnsi="Candara"/>
          <w:sz w:val="20"/>
          <w:szCs w:val="20"/>
        </w:rPr>
        <w:tab/>
        <w:t>symetrický výsev v různých stádiích vývoje</w:t>
      </w:r>
    </w:p>
    <w:p w:rsidR="00A338C4" w:rsidRPr="00AB48F3" w:rsidRDefault="00A338C4" w:rsidP="00A338C4">
      <w:pPr>
        <w:pStyle w:val="Paragraphedeliste"/>
        <w:ind w:left="426"/>
        <w:rPr>
          <w:rFonts w:ascii="Candara" w:hAnsi="Candara"/>
          <w:b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</w:r>
      <w:r w:rsidRPr="00AB48F3">
        <w:rPr>
          <w:rFonts w:ascii="Candara" w:hAnsi="Candara"/>
          <w:sz w:val="20"/>
          <w:szCs w:val="20"/>
        </w:rPr>
        <w:tab/>
        <w:t>lokalizace: akra končetin a obličej</w:t>
      </w:r>
      <w:r w:rsidRPr="00AB48F3">
        <w:rPr>
          <w:rFonts w:ascii="Candara" w:hAnsi="Candara"/>
          <w:b/>
          <w:sz w:val="20"/>
          <w:szCs w:val="20"/>
        </w:rPr>
        <w:tab/>
      </w:r>
      <w:r w:rsidRPr="00AB48F3">
        <w:rPr>
          <w:rFonts w:ascii="Candara" w:hAnsi="Candara"/>
          <w:b/>
          <w:sz w:val="20"/>
          <w:szCs w:val="20"/>
        </w:rPr>
        <w:tab/>
      </w:r>
    </w:p>
    <w:p w:rsidR="00A338C4" w:rsidRPr="00AB48F3" w:rsidRDefault="00A338C4" w:rsidP="00A338C4">
      <w:pPr>
        <w:pStyle w:val="Paragraphedeliste"/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forma major – „bulózní forma“</w:t>
      </w:r>
    </w:p>
    <w:p w:rsidR="00A338C4" w:rsidRPr="00AB48F3" w:rsidRDefault="00A338C4" w:rsidP="00A338C4">
      <w:pPr>
        <w:pStyle w:val="Paragraphedeliste"/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</w:r>
      <w:r w:rsidRPr="00AB48F3">
        <w:rPr>
          <w:rFonts w:ascii="Candara" w:hAnsi="Candara"/>
          <w:sz w:val="20"/>
          <w:szCs w:val="20"/>
        </w:rPr>
        <w:tab/>
        <w:t>tvoří typické terčovité projevy s puchýři, kt přechází v eroze</w:t>
      </w:r>
    </w:p>
    <w:p w:rsidR="00DE012E" w:rsidRPr="00AB48F3" w:rsidRDefault="00A338C4" w:rsidP="00A338C4">
      <w:pPr>
        <w:pStyle w:val="Paragraphedeliste"/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</w:r>
      <w:r w:rsidRPr="00AB48F3">
        <w:rPr>
          <w:rFonts w:ascii="Candara" w:hAnsi="Candara"/>
          <w:sz w:val="20"/>
          <w:szCs w:val="20"/>
        </w:rPr>
        <w:tab/>
        <w:t>lokalizace: genitál, ústa, spojivky</w:t>
      </w:r>
    </w:p>
    <w:p w:rsidR="00DE012E" w:rsidRPr="00AB48F3" w:rsidRDefault="00DE012E" w:rsidP="00A338C4">
      <w:pPr>
        <w:pStyle w:val="Paragraphedeliste"/>
        <w:numPr>
          <w:ilvl w:val="0"/>
          <w:numId w:val="1"/>
        </w:numPr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>Stevens-Johnsonův syndrom</w:t>
      </w:r>
    </w:p>
    <w:p w:rsidR="00DE012E" w:rsidRPr="00AB48F3" w:rsidRDefault="00DE012E" w:rsidP="00DE012E">
      <w:pPr>
        <w:pStyle w:val="Paragraphedeliste"/>
        <w:ind w:left="426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atypické terčovité projevy, lokalizované primárně na trupu</w:t>
      </w:r>
    </w:p>
    <w:p w:rsidR="00DE012E" w:rsidRPr="00AB48F3" w:rsidRDefault="00DE012E" w:rsidP="00DE012E">
      <w:pPr>
        <w:pStyle w:val="Paragraphedeliste"/>
        <w:ind w:left="426" w:right="-709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nepravidelné, tmavě červené, splývající a nepřesně ohraničené makuly s centrálním puchýřem / erozí</w:t>
      </w:r>
    </w:p>
    <w:p w:rsidR="00A338C4" w:rsidRPr="00AB48F3" w:rsidRDefault="00DE012E" w:rsidP="00DE012E">
      <w:pPr>
        <w:pStyle w:val="Paragraphedeliste"/>
        <w:ind w:left="426" w:right="-709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vyvolavatel = léky</w:t>
      </w:r>
      <w:r w:rsidRPr="00AB48F3">
        <w:rPr>
          <w:rFonts w:ascii="Candara" w:hAnsi="Candara"/>
          <w:sz w:val="20"/>
          <w:szCs w:val="20"/>
        </w:rPr>
        <w:tab/>
      </w:r>
    </w:p>
    <w:p w:rsidR="00DE012E" w:rsidRPr="00AB48F3" w:rsidRDefault="00DE012E" w:rsidP="00DE012E">
      <w:pPr>
        <w:pStyle w:val="Paragraphedeliste"/>
        <w:numPr>
          <w:ilvl w:val="0"/>
          <w:numId w:val="1"/>
        </w:numPr>
        <w:ind w:left="426" w:right="-709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>Terapie:</w:t>
      </w:r>
    </w:p>
    <w:p w:rsidR="00DE012E" w:rsidRPr="00AB48F3" w:rsidRDefault="00DE012E" w:rsidP="00DE012E">
      <w:pPr>
        <w:pStyle w:val="Paragraphedeliste"/>
        <w:ind w:left="426" w:right="-709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Acyklovir</w:t>
      </w:r>
    </w:p>
    <w:p w:rsidR="00DE012E" w:rsidRPr="00AB48F3" w:rsidRDefault="00DE012E" w:rsidP="00DE012E">
      <w:pPr>
        <w:pStyle w:val="Paragraphedeliste"/>
        <w:ind w:left="426" w:right="-709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Systémové kortikoidy</w:t>
      </w:r>
    </w:p>
    <w:p w:rsidR="00DE012E" w:rsidRPr="00AB48F3" w:rsidRDefault="00DE012E" w:rsidP="00DE012E">
      <w:pPr>
        <w:pStyle w:val="Paragraphedeliste"/>
        <w:ind w:left="426" w:right="-709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Dezinfekční a anestetické přípravky</w:t>
      </w:r>
    </w:p>
    <w:p w:rsidR="00A338C4" w:rsidRPr="00AB48F3" w:rsidRDefault="00DE012E" w:rsidP="00DE012E">
      <w:pPr>
        <w:pStyle w:val="Paragraphedeliste"/>
        <w:ind w:left="426" w:right="-709"/>
        <w:rPr>
          <w:rFonts w:ascii="Candara" w:hAnsi="Candara"/>
          <w:sz w:val="20"/>
          <w:szCs w:val="20"/>
        </w:rPr>
      </w:pPr>
      <w:r w:rsidRPr="00AB48F3">
        <w:rPr>
          <w:rFonts w:ascii="Candara" w:hAnsi="Candara"/>
          <w:sz w:val="20"/>
          <w:szCs w:val="20"/>
        </w:rPr>
        <w:tab/>
        <w:t>při 2. infekci ATB</w:t>
      </w:r>
    </w:p>
    <w:p w:rsidR="00A338C4" w:rsidRPr="00AB48F3" w:rsidRDefault="00A338C4" w:rsidP="00A338C4">
      <w:pPr>
        <w:rPr>
          <w:rFonts w:ascii="Candara" w:hAnsi="Candara"/>
          <w:sz w:val="20"/>
          <w:szCs w:val="20"/>
          <w:lang w:eastAsia="ja-JP"/>
        </w:rPr>
      </w:pPr>
    </w:p>
    <w:p w:rsidR="00A338C4" w:rsidRPr="00AB48F3" w:rsidRDefault="00DE012E" w:rsidP="00A338C4">
      <w:pPr>
        <w:rPr>
          <w:rFonts w:ascii="Candara" w:hAnsi="Candara"/>
          <w:b/>
          <w:sz w:val="22"/>
          <w:szCs w:val="20"/>
          <w:lang w:eastAsia="ja-JP"/>
        </w:rPr>
      </w:pPr>
      <w:r w:rsidRPr="00AB48F3">
        <w:rPr>
          <w:rFonts w:ascii="Candara" w:hAnsi="Candara"/>
          <w:b/>
          <w:sz w:val="22"/>
          <w:szCs w:val="20"/>
          <w:lang w:eastAsia="ja-JP"/>
        </w:rPr>
        <w:t>LYELLŮV SYNDROM</w:t>
      </w:r>
    </w:p>
    <w:p w:rsidR="00DE012E" w:rsidRPr="00AB48F3" w:rsidRDefault="00DE012E" w:rsidP="00DE012E">
      <w:pPr>
        <w:pStyle w:val="Paragraphedeliste"/>
        <w:numPr>
          <w:ilvl w:val="0"/>
          <w:numId w:val="4"/>
        </w:numPr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 xml:space="preserve">= toxická epidermální nekrolýza, </w:t>
      </w:r>
      <w:r w:rsidRPr="00AB48F3">
        <w:rPr>
          <w:rFonts w:ascii="Candara" w:hAnsi="Candara"/>
          <w:sz w:val="20"/>
          <w:szCs w:val="20"/>
          <w:lang w:eastAsia="ja-JP"/>
        </w:rPr>
        <w:t>syndrom „opařené kůže“</w:t>
      </w:r>
    </w:p>
    <w:p w:rsidR="00A338C4" w:rsidRPr="00AB48F3" w:rsidRDefault="00DE012E" w:rsidP="00DE012E">
      <w:pPr>
        <w:pStyle w:val="Paragraphedeliste"/>
        <w:numPr>
          <w:ilvl w:val="0"/>
          <w:numId w:val="4"/>
        </w:numPr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>nejtěžší, velmi vzácná forma</w:t>
      </w:r>
      <w:r w:rsidR="00A338C4" w:rsidRPr="00AB48F3">
        <w:rPr>
          <w:rFonts w:ascii="Candara" w:hAnsi="Candara"/>
          <w:sz w:val="20"/>
          <w:szCs w:val="20"/>
          <w:lang w:eastAsia="ja-JP"/>
        </w:rPr>
        <w:t xml:space="preserve"> lékového exantému</w:t>
      </w:r>
      <w:r w:rsidRPr="00AB48F3">
        <w:rPr>
          <w:rFonts w:ascii="Candara" w:hAnsi="Candara"/>
          <w:sz w:val="20"/>
          <w:szCs w:val="20"/>
          <w:lang w:eastAsia="ja-JP"/>
        </w:rPr>
        <w:t xml:space="preserve"> s plošným cárovitým odlučováním epidermis a postižením sliznic</w:t>
      </w:r>
    </w:p>
    <w:p w:rsidR="00DE012E" w:rsidRPr="00AB48F3" w:rsidRDefault="00DE012E" w:rsidP="00DE012E">
      <w:pPr>
        <w:pStyle w:val="Paragraphedeliste"/>
        <w:numPr>
          <w:ilvl w:val="0"/>
          <w:numId w:val="4"/>
        </w:numPr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>etiologie: nejčastější vyvolávající léky: sulfonamid, trimetroprim, sulfametoxazol, karbamazepin, fenytoin, fenobarbital, alopurinol, aminoPNC, atd</w:t>
      </w:r>
    </w:p>
    <w:p w:rsidR="00DE012E" w:rsidRPr="00AB48F3" w:rsidRDefault="00DE012E" w:rsidP="00DE012E">
      <w:pPr>
        <w:pStyle w:val="Paragraphedeliste"/>
        <w:numPr>
          <w:ilvl w:val="0"/>
          <w:numId w:val="4"/>
        </w:numPr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 xml:space="preserve">patogeneze nejasná, předpoklad: cytotoxický podklad, imunitní rce zaměřená proti epidermálním ag s vysokou pcí TNF </w:t>
      </w:r>
      <w:r w:rsidRPr="00AB48F3">
        <w:rPr>
          <w:rFonts w:ascii="Candara" w:hAnsi="Candara" w:cstheme="minorHAnsi"/>
          <w:sz w:val="20"/>
          <w:szCs w:val="20"/>
          <w:lang w:eastAsia="ja-JP"/>
        </w:rPr>
        <w:t>α</w:t>
      </w:r>
      <w:r w:rsidRPr="00AB48F3">
        <w:rPr>
          <w:rFonts w:ascii="Candara" w:hAnsi="Candara"/>
          <w:sz w:val="20"/>
          <w:szCs w:val="20"/>
          <w:lang w:eastAsia="ja-JP"/>
        </w:rPr>
        <w:t xml:space="preserve"> vedoucí k nekróze keratinocytů</w:t>
      </w:r>
    </w:p>
    <w:p w:rsidR="00DE012E" w:rsidRPr="00AB48F3" w:rsidRDefault="00DE012E" w:rsidP="00DE012E">
      <w:pPr>
        <w:pStyle w:val="Paragraphedeliste"/>
        <w:numPr>
          <w:ilvl w:val="0"/>
          <w:numId w:val="4"/>
        </w:numPr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>KO:</w:t>
      </w:r>
    </w:p>
    <w:p w:rsidR="00DE012E" w:rsidRPr="00AB48F3" w:rsidRDefault="00DE012E" w:rsidP="00DE012E">
      <w:pPr>
        <w:pStyle w:val="Paragraphedeliste"/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ab/>
        <w:t>rychle spývající erytémy, přechod v puchýře a cárovité odlučování epidermis</w:t>
      </w:r>
    </w:p>
    <w:p w:rsidR="00DE012E" w:rsidRPr="00AB48F3" w:rsidRDefault="00DE012E" w:rsidP="00DE012E">
      <w:pPr>
        <w:pStyle w:val="Paragraphedeliste"/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ab/>
        <w:t>+ Nickolského fenomén</w:t>
      </w:r>
    </w:p>
    <w:p w:rsidR="00DE012E" w:rsidRPr="00AB48F3" w:rsidRDefault="00DE012E" w:rsidP="00DE012E">
      <w:pPr>
        <w:pStyle w:val="Paragraphedeliste"/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ab/>
        <w:t>na sliznicích drobné až rozsáhlé hemoragické eroze</w:t>
      </w:r>
      <w:r w:rsidR="00AB48F3" w:rsidRPr="00AB48F3">
        <w:rPr>
          <w:rFonts w:ascii="Candara" w:hAnsi="Candara"/>
          <w:sz w:val="20"/>
          <w:szCs w:val="20"/>
          <w:lang w:eastAsia="ja-JP"/>
        </w:rPr>
        <w:t>, terčovité léze, erytémy</w:t>
      </w:r>
    </w:p>
    <w:p w:rsidR="00A338C4" w:rsidRPr="00AB48F3" w:rsidRDefault="00DE012E" w:rsidP="00DE012E">
      <w:pPr>
        <w:pStyle w:val="Paragraphedeliste"/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ab/>
        <w:t>těžký celkový stav s</w:t>
      </w:r>
      <w:r w:rsidR="00AB48F3" w:rsidRPr="00AB48F3">
        <w:rPr>
          <w:rFonts w:ascii="Candara" w:hAnsi="Candara"/>
          <w:sz w:val="20"/>
          <w:szCs w:val="20"/>
          <w:lang w:eastAsia="ja-JP"/>
        </w:rPr>
        <w:t> </w:t>
      </w:r>
      <w:r w:rsidRPr="00AB48F3">
        <w:rPr>
          <w:rFonts w:ascii="Candara" w:hAnsi="Candara"/>
          <w:sz w:val="20"/>
          <w:szCs w:val="20"/>
          <w:lang w:eastAsia="ja-JP"/>
        </w:rPr>
        <w:t>horečkou</w:t>
      </w:r>
      <w:r w:rsidR="00AB48F3" w:rsidRPr="00AB48F3">
        <w:rPr>
          <w:rFonts w:ascii="Candara" w:hAnsi="Candara"/>
          <w:sz w:val="20"/>
          <w:szCs w:val="20"/>
          <w:lang w:eastAsia="ja-JP"/>
        </w:rPr>
        <w:t xml:space="preserve">, </w:t>
      </w:r>
      <w:r w:rsidRPr="00AB48F3">
        <w:rPr>
          <w:rFonts w:ascii="Candara" w:hAnsi="Candara"/>
          <w:sz w:val="20"/>
          <w:szCs w:val="20"/>
          <w:lang w:eastAsia="ja-JP"/>
        </w:rPr>
        <w:t>poruchy vědomí</w:t>
      </w:r>
      <w:r w:rsidR="00A338C4" w:rsidRPr="00AB48F3">
        <w:rPr>
          <w:rFonts w:ascii="Candara" w:hAnsi="Candara"/>
          <w:sz w:val="20"/>
          <w:szCs w:val="20"/>
          <w:lang w:eastAsia="ja-JP"/>
        </w:rPr>
        <w:t xml:space="preserve"> </w:t>
      </w:r>
    </w:p>
    <w:p w:rsidR="00AB48F3" w:rsidRPr="00AB48F3" w:rsidRDefault="00AB48F3" w:rsidP="00DE012E">
      <w:pPr>
        <w:pStyle w:val="Paragraphedeliste"/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ab/>
        <w:t xml:space="preserve">přechodný stav mezi Stevens-Johnsonovým syndromem a toxickou epidermální nekrolýzou- klinický obraz se splývajícími atypickými terčovitými projevy </w:t>
      </w:r>
    </w:p>
    <w:p w:rsidR="00AB48F3" w:rsidRPr="00AB48F3" w:rsidRDefault="00AB48F3" w:rsidP="00DE012E">
      <w:pPr>
        <w:pStyle w:val="Paragraphedeliste"/>
        <w:numPr>
          <w:ilvl w:val="0"/>
          <w:numId w:val="4"/>
        </w:numPr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>terapie- vynechání vyvolávající látky</w:t>
      </w:r>
    </w:p>
    <w:p w:rsidR="00AB48F3" w:rsidRPr="00AB48F3" w:rsidRDefault="00AB48F3" w:rsidP="00AB48F3">
      <w:pPr>
        <w:pStyle w:val="Paragraphedeliste"/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ab/>
      </w:r>
      <w:r w:rsidRPr="00AB48F3">
        <w:rPr>
          <w:rFonts w:ascii="Candara" w:hAnsi="Candara"/>
          <w:sz w:val="20"/>
          <w:szCs w:val="20"/>
          <w:lang w:eastAsia="ja-JP"/>
        </w:rPr>
        <w:tab/>
        <w:t>hospitalizace na JIP</w:t>
      </w:r>
    </w:p>
    <w:p w:rsidR="00AB48F3" w:rsidRPr="00AB48F3" w:rsidRDefault="00AB48F3" w:rsidP="00AB48F3">
      <w:pPr>
        <w:pStyle w:val="Paragraphedeliste"/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ab/>
      </w:r>
      <w:r w:rsidRPr="00AB48F3">
        <w:rPr>
          <w:rFonts w:ascii="Candara" w:hAnsi="Candara"/>
          <w:sz w:val="20"/>
          <w:szCs w:val="20"/>
          <w:lang w:eastAsia="ja-JP"/>
        </w:rPr>
        <w:tab/>
        <w:t>i.v Ig</w:t>
      </w:r>
    </w:p>
    <w:p w:rsidR="00042F49" w:rsidRPr="00AB48F3" w:rsidRDefault="00A338C4" w:rsidP="00DE012E">
      <w:pPr>
        <w:pStyle w:val="Paragraphedeliste"/>
        <w:numPr>
          <w:ilvl w:val="0"/>
          <w:numId w:val="4"/>
        </w:numPr>
        <w:ind w:left="426"/>
        <w:rPr>
          <w:rFonts w:ascii="Candara" w:hAnsi="Candara"/>
          <w:sz w:val="20"/>
          <w:szCs w:val="20"/>
          <w:lang w:eastAsia="ja-JP"/>
        </w:rPr>
      </w:pPr>
      <w:r w:rsidRPr="00AB48F3">
        <w:rPr>
          <w:rFonts w:ascii="Candara" w:hAnsi="Candara"/>
          <w:sz w:val="20"/>
          <w:szCs w:val="20"/>
          <w:lang w:eastAsia="ja-JP"/>
        </w:rPr>
        <w:t>50% - smrt!!</w:t>
      </w:r>
      <w:bookmarkStart w:id="0" w:name="_GoBack"/>
      <w:bookmarkEnd w:id="0"/>
    </w:p>
    <w:sectPr w:rsidR="00042F49" w:rsidRPr="00AB48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353D0"/>
    <w:multiLevelType w:val="hybridMultilevel"/>
    <w:tmpl w:val="074EA44E"/>
    <w:lvl w:ilvl="0" w:tplc="EC54F10C">
      <w:start w:val="2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1C71BB"/>
    <w:multiLevelType w:val="hybridMultilevel"/>
    <w:tmpl w:val="C150CB48"/>
    <w:lvl w:ilvl="0" w:tplc="BBFE87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642566"/>
    <w:multiLevelType w:val="hybridMultilevel"/>
    <w:tmpl w:val="B260A9D8"/>
    <w:lvl w:ilvl="0" w:tplc="F500A70A">
      <w:start w:val="2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5D4F20"/>
    <w:multiLevelType w:val="hybridMultilevel"/>
    <w:tmpl w:val="83D4E32E"/>
    <w:lvl w:ilvl="0" w:tplc="BBFE87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AA2F8E"/>
    <w:multiLevelType w:val="hybridMultilevel"/>
    <w:tmpl w:val="70DAE19E"/>
    <w:lvl w:ilvl="0" w:tplc="3B688874">
      <w:start w:val="42"/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8C4"/>
    <w:rsid w:val="00452FE4"/>
    <w:rsid w:val="00A338C4"/>
    <w:rsid w:val="00AB48F3"/>
    <w:rsid w:val="00D209F4"/>
    <w:rsid w:val="00D90114"/>
    <w:rsid w:val="00DE012E"/>
    <w:rsid w:val="00E24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38C4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cs-CZ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D209F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Titredulivre">
    <w:name w:val="Book Title"/>
    <w:basedOn w:val="Policepardfaut"/>
    <w:uiPriority w:val="33"/>
    <w:qFormat/>
    <w:rsid w:val="00A338C4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38C4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cs-CZ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D209F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Titredulivre">
    <w:name w:val="Book Title"/>
    <w:basedOn w:val="Policepardfaut"/>
    <w:uiPriority w:val="33"/>
    <w:qFormat/>
    <w:rsid w:val="00A338C4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315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jancutka</dc:creator>
  <cp:lastModifiedBy>jancutka</cp:lastModifiedBy>
  <cp:revision>1</cp:revision>
  <dcterms:created xsi:type="dcterms:W3CDTF">2012-05-23T15:14:00Z</dcterms:created>
  <dcterms:modified xsi:type="dcterms:W3CDTF">2012-05-23T15:38:00Z</dcterms:modified>
</cp:coreProperties>
</file>